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9238E">
      <w:pPr>
        <w:pStyle w:val="2"/>
        <w:spacing w:line="680" w:lineRule="exact"/>
        <w:ind w:left="113"/>
        <w:rPr>
          <w:rFonts w:ascii="仿宋_GB2312" w:eastAsia="仿宋_GB2312"/>
          <w:lang w:eastAsia="zh-CN"/>
        </w:rPr>
      </w:pPr>
      <w:bookmarkStart w:id="0" w:name="_GoBack"/>
      <w:bookmarkEnd w:id="0"/>
      <w:r>
        <w:rPr>
          <w:rFonts w:hint="eastAsia" w:ascii="仿宋_GB2312" w:hAnsi="黑体" w:eastAsia="仿宋_GB2312" w:cs="仿宋"/>
          <w:lang w:eastAsia="zh-CN"/>
        </w:rPr>
        <w:t>附件3：</w:t>
      </w:r>
    </w:p>
    <w:p w14:paraId="061D50AD">
      <w:pPr>
        <w:spacing w:line="680" w:lineRule="exact"/>
        <w:ind w:left="6" w:right="4"/>
        <w:jc w:val="center"/>
        <w:rPr>
          <w:rFonts w:hint="eastAsia" w:cs="Times New Roman"/>
          <w:b/>
          <w:kern w:val="2"/>
          <w:sz w:val="44"/>
          <w:szCs w:val="44"/>
          <w:lang w:eastAsia="zh-CN"/>
        </w:rPr>
      </w:pPr>
    </w:p>
    <w:p w14:paraId="11621224">
      <w:pPr>
        <w:spacing w:line="680" w:lineRule="exact"/>
        <w:ind w:left="6" w:right="4"/>
        <w:jc w:val="center"/>
        <w:rPr>
          <w:rFonts w:hint="eastAsia" w:cs="Times New Roman"/>
          <w:b/>
          <w:kern w:val="2"/>
          <w:sz w:val="44"/>
          <w:szCs w:val="44"/>
          <w:lang w:eastAsia="zh-CN"/>
        </w:rPr>
      </w:pPr>
    </w:p>
    <w:p w14:paraId="2315FFD0">
      <w:pPr>
        <w:spacing w:line="680" w:lineRule="exact"/>
        <w:ind w:left="6" w:right="4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eastAsia="zh-CN"/>
        </w:rPr>
        <w:t>市级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项目支出绩效评价报告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     </w:t>
      </w:r>
    </w:p>
    <w:p w14:paraId="120B487F">
      <w:pPr>
        <w:pStyle w:val="2"/>
        <w:spacing w:line="680" w:lineRule="exact"/>
        <w:rPr>
          <w:sz w:val="56"/>
          <w:lang w:eastAsia="zh-CN"/>
        </w:rPr>
      </w:pPr>
    </w:p>
    <w:p w14:paraId="3D80C1DF">
      <w:pPr>
        <w:pStyle w:val="2"/>
        <w:spacing w:line="680" w:lineRule="exact"/>
        <w:rPr>
          <w:sz w:val="56"/>
          <w:lang w:eastAsia="zh-CN"/>
        </w:rPr>
      </w:pPr>
    </w:p>
    <w:p w14:paraId="7530CE9A">
      <w:pPr>
        <w:pStyle w:val="2"/>
        <w:spacing w:line="680" w:lineRule="exact"/>
        <w:rPr>
          <w:sz w:val="56"/>
          <w:lang w:eastAsia="zh-CN"/>
        </w:rPr>
      </w:pPr>
    </w:p>
    <w:p w14:paraId="56CADBFA"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7BB677B1"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233558A0"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2061FAC2">
      <w:pPr>
        <w:spacing w:line="578" w:lineRule="exact"/>
        <w:ind w:left="1600" w:hanging="1600" w:hangingChars="500"/>
        <w:rPr>
          <w:rFonts w:ascii="仿宋_GB2312" w:hAnsi="仿宋" w:eastAsia="仿宋_GB2312" w:cs="仿宋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项目名称：基层统战工作相关经费</w:t>
      </w:r>
    </w:p>
    <w:p w14:paraId="4D6410C0">
      <w:pPr>
        <w:spacing w:line="578" w:lineRule="exact"/>
        <w:ind w:left="1600" w:hanging="1600" w:hangingChars="500"/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项目主管部门：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中国民主促进会会兰州市委员会</w:t>
      </w:r>
    </w:p>
    <w:p w14:paraId="426C04B1">
      <w:pPr>
        <w:spacing w:line="578" w:lineRule="exact"/>
        <w:ind w:left="1600" w:hanging="1600" w:hangingChars="500"/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评价实施部门：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中国民主促进会会兰州市委员会</w:t>
      </w:r>
    </w:p>
    <w:p w14:paraId="598B574B">
      <w:pPr>
        <w:spacing w:line="578" w:lineRule="exact"/>
        <w:ind w:left="1600" w:hanging="1600" w:hangingChars="500"/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评价机构名称：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中国民主促进会会兰州市委员会</w:t>
      </w:r>
    </w:p>
    <w:p w14:paraId="0898B1CB">
      <w:pPr>
        <w:spacing w:line="578" w:lineRule="exact"/>
        <w:rPr>
          <w:rFonts w:ascii="仿宋_GB2312" w:hAnsi="仿宋" w:eastAsia="仿宋_GB2312" w:cs="仿宋"/>
          <w:sz w:val="32"/>
          <w:szCs w:val="32"/>
          <w:u w:val="single"/>
          <w:lang w:eastAsia="zh-CN"/>
        </w:rPr>
      </w:pPr>
    </w:p>
    <w:p w14:paraId="63D8CCC2">
      <w:pPr>
        <w:spacing w:line="578" w:lineRule="exact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58EC6AEA">
      <w:pPr>
        <w:spacing w:line="578" w:lineRule="exact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2BAF5385">
      <w:pPr>
        <w:spacing w:line="578" w:lineRule="exact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79D8C800">
      <w:pPr>
        <w:spacing w:line="578" w:lineRule="exact"/>
        <w:rPr>
          <w:sz w:val="73"/>
          <w:lang w:eastAsia="zh-CN"/>
        </w:rPr>
      </w:pPr>
    </w:p>
    <w:p w14:paraId="03F19C8E">
      <w:pPr>
        <w:spacing w:line="578" w:lineRule="exact"/>
        <w:rPr>
          <w:rFonts w:ascii="黑体" w:hAnsi="黑体" w:eastAsia="黑体"/>
          <w:lang w:eastAsia="zh-CN"/>
        </w:rPr>
        <w:sectPr>
          <w:pgSz w:w="11910" w:h="16840"/>
          <w:pgMar w:top="1600" w:right="1360" w:bottom="1320" w:left="1360" w:header="0" w:footer="1134" w:gutter="0"/>
          <w:pgNumType w:fmt="decimal"/>
          <w:cols w:space="720" w:num="1"/>
        </w:sect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月</w:t>
      </w:r>
    </w:p>
    <w:p w14:paraId="410462D7">
      <w:pPr>
        <w:spacing w:line="660" w:lineRule="exact"/>
        <w:ind w:left="5" w:right="4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报告摘要</w:t>
      </w:r>
    </w:p>
    <w:p w14:paraId="760F3268">
      <w:pPr>
        <w:pStyle w:val="2"/>
        <w:spacing w:line="660" w:lineRule="exact"/>
        <w:ind w:left="753"/>
        <w:rPr>
          <w:rFonts w:ascii="黑体" w:eastAsia="黑体"/>
          <w:sz w:val="32"/>
          <w:szCs w:val="32"/>
          <w:lang w:eastAsia="zh-CN"/>
        </w:rPr>
      </w:pPr>
    </w:p>
    <w:p w14:paraId="3C555CFA">
      <w:pPr>
        <w:pStyle w:val="2"/>
        <w:spacing w:line="660" w:lineRule="exact"/>
        <w:ind w:left="753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一、 项目基本情况</w:t>
      </w:r>
    </w:p>
    <w:p w14:paraId="727D18FE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（一）项目概况</w:t>
      </w:r>
    </w:p>
    <w:p w14:paraId="0BFED6ED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（二）项目绩效目标</w:t>
      </w:r>
    </w:p>
    <w:p w14:paraId="5B999B79">
      <w:pPr>
        <w:pStyle w:val="2"/>
        <w:spacing w:line="660" w:lineRule="exact"/>
        <w:ind w:left="752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二、绩效评价工作开展情况</w:t>
      </w:r>
    </w:p>
    <w:p w14:paraId="4BCDA808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（一）绩效评价目的、对象和范围。</w:t>
      </w:r>
    </w:p>
    <w:p w14:paraId="6C418FCC">
      <w:pPr>
        <w:pStyle w:val="2"/>
        <w:spacing w:line="660" w:lineRule="exact"/>
        <w:ind w:left="111" w:right="125" w:firstLine="639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（二）绩效评价原则、评价指标体系（简要说明）、评价方法、评价标准等。</w:t>
      </w:r>
    </w:p>
    <w:p w14:paraId="54851C34">
      <w:pPr>
        <w:pStyle w:val="2"/>
        <w:spacing w:line="660" w:lineRule="exact"/>
        <w:ind w:left="111" w:right="125" w:firstLine="639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（三）绩效评价工作过程。</w:t>
      </w:r>
    </w:p>
    <w:p w14:paraId="3AB4EDFD">
      <w:pPr>
        <w:pStyle w:val="2"/>
        <w:spacing w:line="660" w:lineRule="exact"/>
        <w:ind w:left="752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三、综合评价情况及评价结论</w:t>
      </w:r>
    </w:p>
    <w:p w14:paraId="1A2E5B05">
      <w:pPr>
        <w:pStyle w:val="2"/>
        <w:spacing w:line="660" w:lineRule="exact"/>
        <w:ind w:left="112" w:leftChars="51" w:right="125" w:firstLine="640" w:firstLineChars="200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四、绩效评价指标分析</w:t>
      </w:r>
    </w:p>
    <w:p w14:paraId="2A07D3D4">
      <w:pPr>
        <w:pStyle w:val="2"/>
        <w:spacing w:line="660" w:lineRule="exact"/>
        <w:ind w:left="112" w:leftChars="51" w:right="125" w:firstLine="640" w:firstLineChars="200"/>
        <w:jc w:val="both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五、主要经验及做法、存在的主要问题及原因分析</w:t>
      </w:r>
    </w:p>
    <w:p w14:paraId="07D217E4">
      <w:pPr>
        <w:pStyle w:val="2"/>
        <w:spacing w:line="660" w:lineRule="exact"/>
        <w:ind w:left="112" w:leftChars="51" w:right="125" w:firstLine="640" w:firstLineChars="200"/>
        <w:jc w:val="both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六、有关建议</w:t>
      </w:r>
    </w:p>
    <w:p w14:paraId="3E952F84">
      <w:pPr>
        <w:pStyle w:val="2"/>
        <w:spacing w:line="660" w:lineRule="exact"/>
        <w:ind w:left="112" w:leftChars="51" w:right="125" w:firstLine="640" w:firstLineChars="200"/>
        <w:jc w:val="both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七、其他需要说明的问题</w:t>
      </w:r>
    </w:p>
    <w:p w14:paraId="332DA2EA">
      <w:pPr>
        <w:pStyle w:val="2"/>
        <w:spacing w:line="660" w:lineRule="exact"/>
        <w:ind w:left="111" w:right="125" w:firstLine="639"/>
        <w:jc w:val="both"/>
        <w:rPr>
          <w:rFonts w:ascii="黑体" w:eastAsia="黑体"/>
          <w:sz w:val="32"/>
          <w:szCs w:val="32"/>
          <w:lang w:eastAsia="zh-CN"/>
        </w:rPr>
      </w:pPr>
    </w:p>
    <w:p w14:paraId="4622DC60">
      <w:pPr>
        <w:pStyle w:val="2"/>
        <w:spacing w:line="660" w:lineRule="exact"/>
        <w:rPr>
          <w:rFonts w:ascii="黑体"/>
          <w:sz w:val="20"/>
          <w:lang w:eastAsia="zh-CN"/>
        </w:rPr>
      </w:pPr>
    </w:p>
    <w:p w14:paraId="580E6EF2">
      <w:pPr>
        <w:pStyle w:val="2"/>
        <w:spacing w:line="660" w:lineRule="exact"/>
        <w:rPr>
          <w:rFonts w:ascii="黑体"/>
          <w:sz w:val="20"/>
          <w:lang w:eastAsia="zh-CN"/>
        </w:rPr>
      </w:pPr>
    </w:p>
    <w:p w14:paraId="47D9ABE7">
      <w:pPr>
        <w:pStyle w:val="2"/>
        <w:spacing w:line="660" w:lineRule="exact"/>
        <w:rPr>
          <w:rFonts w:ascii="黑体"/>
          <w:sz w:val="20"/>
          <w:lang w:eastAsia="zh-CN"/>
        </w:rPr>
      </w:pPr>
    </w:p>
    <w:p w14:paraId="646C8DD2">
      <w:pPr>
        <w:pStyle w:val="2"/>
        <w:spacing w:line="660" w:lineRule="exact"/>
        <w:rPr>
          <w:rFonts w:ascii="黑体"/>
          <w:sz w:val="20"/>
          <w:lang w:eastAsia="zh-CN"/>
        </w:rPr>
      </w:pPr>
    </w:p>
    <w:p w14:paraId="2A2EA49E">
      <w:pPr>
        <w:pStyle w:val="2"/>
        <w:spacing w:line="660" w:lineRule="exact"/>
        <w:rPr>
          <w:rFonts w:ascii="黑体"/>
          <w:sz w:val="20"/>
          <w:lang w:eastAsia="zh-CN"/>
        </w:rPr>
      </w:pPr>
    </w:p>
    <w:p w14:paraId="6697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5" w:right="4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报告正文</w:t>
      </w:r>
    </w:p>
    <w:p w14:paraId="1BAD5D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96024B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753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项目基本情况</w:t>
      </w:r>
    </w:p>
    <w:p w14:paraId="0AD608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（一）项目概况</w:t>
      </w:r>
    </w:p>
    <w:p w14:paraId="4057F5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1.项目立项背景。根据《省财政厅关于下达兰州市基层统战工作相关经费的通知》（甘财行【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21号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）。</w:t>
      </w:r>
    </w:p>
    <w:p w14:paraId="17F9A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2.项目预算安排及使用情况。按照市委统战部《关于省财政厅下达基层统战工作相关经费分配意见的报告》（兰统发【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64号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）提出的分配意见，下达中国民主促进会兰州市委员会基层统战工作经费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5万元，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项目投资全部为财政拨款，资金来源明确。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支出列2024年政府收支分类科目“2013499—其他统战事务支出”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 w14:paraId="741264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3.项目主要内容及实施情况。基层统战工作相关经费于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2024年9月下达中国民主促进会兰州市委员会，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项目计划完成时间为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2024年12月，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该项目旨在保障基层统战工作的顺利开展，通过开展各类统战活动、加强统战对象联系、优化统战工作服务等方式，凝聚社会各界力量，为基层发展贡献统战智慧和力量。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截止监控时点，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各项工作按计划有序推进，取得了一定成效。</w:t>
      </w:r>
    </w:p>
    <w:p w14:paraId="7C2030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4.项目组织管理。</w:t>
      </w:r>
    </w:p>
    <w:p w14:paraId="560A70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主管部门及职责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中国民主促进会兰州市委员会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作为项目主管部门，负责对项目的整体规划、政策指导、监督检查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以及资金使用的审批等工作。</w:t>
      </w:r>
    </w:p>
    <w:p w14:paraId="0E0FF5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实施单位及职责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中国民主促进会兰州市委员会各科室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为具体实施单位，负责项目的具体执行，包括活动的策划组织、与统战对象的具体联系、经费的实际使用等，并定期汇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报项目进展情况。</w:t>
      </w:r>
    </w:p>
    <w:p w14:paraId="497662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组织管理架构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：成立了由主管部门领导、实施单位负责人及相关工作人员组成的项目工作小组，明确了各成员的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职责人工，确保项目顺利推进。</w:t>
      </w:r>
    </w:p>
    <w:p w14:paraId="2BCF0B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项目具体实施流程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：首先由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各科室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根据基层统战工作实际制定详细的工作计划，包括活动安排、联系计划等；然后按计划组织实施各项工作；在工作开展过程中，及时收集反馈信息，对工作进行调整优化；最后对项目实施情况进行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总结评估。</w:t>
      </w:r>
    </w:p>
    <w:p w14:paraId="096E42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资金拨付流程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各科室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根据工作进展和资金需求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提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出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资金使用申请，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通过主委会资金审核后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，按照相关财务规定将资金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进行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拨付，严格按照预算用途使用资金，并做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好账务记录。</w:t>
      </w:r>
    </w:p>
    <w:p w14:paraId="75A66D8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项目绩效目标</w:t>
      </w:r>
    </w:p>
    <w:p w14:paraId="5EFF5F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750" w:leftChars="0" w:right="125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总体目标</w:t>
      </w:r>
    </w:p>
    <w:p w14:paraId="1234BD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right="125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通过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项目的实施，进一步加强基层统战工作，健全统战工作机制，密切与各统战对象的联系，提高统战对象的满意度，充分凝聚社会各界力量，为基层经济社会发展提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供有力支持。</w:t>
      </w:r>
    </w:p>
    <w:p w14:paraId="5D6F2A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right="125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年度目标</w:t>
      </w:r>
    </w:p>
    <w:p w14:paraId="39AFA3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right="125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在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 xml:space="preserve">本阶段，计划开展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次民进兰州市委统战工作推进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活动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2次会员之家建设工作、1次统战交流走访工作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，使统战对象满意度达到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98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% 以上，有效提升基层统战工作的影响力和实效性。项目绩效目标与立项目的紧密相关，设定合理，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依据充分，符合基层统战工作的实际需求和发展方向。</w:t>
      </w:r>
    </w:p>
    <w:p w14:paraId="0377BE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right="125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二、绩效评价工作开展情况</w:t>
      </w:r>
    </w:p>
    <w:p w14:paraId="746A8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（一）绩效评价目的、对象与范围。</w:t>
      </w:r>
    </w:p>
    <w:p w14:paraId="3CE9275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0" w:space="0"/>
          <w:left w:val="single" w:color="000000" w:sz="0" w:space="22"/>
          <w:bottom w:val="single" w:color="000000" w:sz="0" w:space="0"/>
          <w:right w:val="singl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80" w:lineRule="exac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评价目的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：通过对本项目的绩效评价，全面了解项目的实施情况、资金使用效益以及绩效目标的完成程度，总结项目实施过程中的经验和不足，为今后优化项目管理、提高资金使用效率提供依据。​</w:t>
      </w:r>
    </w:p>
    <w:p w14:paraId="74F64A0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0" w:space="0"/>
          <w:left w:val="single" w:color="000000" w:sz="0" w:space="22"/>
          <w:bottom w:val="single" w:color="000000" w:sz="0" w:space="0"/>
          <w:right w:val="singl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80" w:lineRule="exac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评价对象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：5 万元基层统战工作经费项目。​</w:t>
      </w:r>
    </w:p>
    <w:p w14:paraId="60856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right="125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评价范围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：涵盖项目的决策、实施过程、产出成果以及所产生的效益等方面，包括项目预算执行情况、各项工作任务的完成情况、统战对象的反馈情况等。</w:t>
      </w:r>
    </w:p>
    <w:p w14:paraId="406C3C97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 w:val="0"/>
        <w:bidi w:val="0"/>
        <w:adjustRightInd/>
        <w:snapToGrid/>
        <w:spacing w:line="680" w:lineRule="exact"/>
        <w:ind w:left="111" w:right="125" w:firstLine="639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绩效评价原则和方法、绩效评价指标体系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（附表说明绩效评价指标、指标解释、评价标准、指标权重、数据来源、证据收集方式等）、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评价方法、评价标准等。</w:t>
      </w:r>
    </w:p>
    <w:p w14:paraId="052D1DE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0" w:space="0"/>
          <w:left w:val="single" w:color="000000" w:sz="0" w:space="22"/>
          <w:bottom w:val="single" w:color="000000" w:sz="0" w:space="0"/>
          <w:right w:val="singl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80" w:lineRule="exac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评价原则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：遵循客观公正、科学规范、突出重点、注重实效的原则，确保评价结果真实、准确地反映项目的实际情况。​</w:t>
      </w:r>
    </w:p>
    <w:p w14:paraId="7D4FAF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0" w:space="0"/>
          <w:left w:val="single" w:color="000000" w:sz="0" w:space="22"/>
          <w:bottom w:val="single" w:color="000000" w:sz="0" w:space="0"/>
          <w:right w:val="singl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评价方法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：通过收集项目相关的文件资料、财务数据，对统战对象进行问卷调查和现场访谈，对各项指标进行量化分析和定性评估。</w:t>
      </w:r>
    </w:p>
    <w:p w14:paraId="4ED7572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000000" w:sz="0" w:space="0"/>
          <w:left w:val="single" w:color="000000" w:sz="0" w:space="22"/>
          <w:bottom w:val="single" w:color="000000" w:sz="0" w:space="0"/>
          <w:right w:val="singl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80" w:lineRule="exact"/>
        <w:ind w:firstLine="643" w:firstLineChars="200"/>
        <w:textAlignment w:val="auto"/>
        <w:outlineLvl w:val="9"/>
        <w:rPr>
          <w:rFonts w:hint="default" w:ascii="Inter" w:hAnsi="宋体"/>
          <w:b/>
          <w:i w:val="0"/>
          <w:snapToGrid/>
          <w:color w:val="000000"/>
          <w:sz w:val="24"/>
          <w:shd w:val="clear" w:color="auto" w:fill="EFF0F1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绩效评价指标体系</w:t>
      </w: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br w:type="textWrapping"/>
      </w:r>
    </w:p>
    <w:tbl>
      <w:tblPr>
        <w:tblStyle w:val="4"/>
        <w:tblpPr w:leftFromText="180" w:rightFromText="180" w:vertAnchor="text" w:horzAnchor="page" w:tblpX="1661" w:tblpY="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9"/>
        <w:gridCol w:w="1057"/>
        <w:gridCol w:w="1233"/>
        <w:gridCol w:w="1233"/>
        <w:gridCol w:w="1233"/>
        <w:gridCol w:w="1562"/>
        <w:gridCol w:w="1560"/>
      </w:tblGrid>
      <w:tr w14:paraId="0006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noWrap w:val="0"/>
            <w:vAlign w:val="center"/>
          </w:tcPr>
          <w:p w14:paraId="3FBF7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一级指标</w:t>
            </w:r>
          </w:p>
        </w:tc>
        <w:tc>
          <w:tcPr>
            <w:tcW w:w="1057" w:type="dxa"/>
            <w:noWrap w:val="0"/>
            <w:vAlign w:val="center"/>
          </w:tcPr>
          <w:p w14:paraId="66F5D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二级指标</w:t>
            </w:r>
          </w:p>
        </w:tc>
        <w:tc>
          <w:tcPr>
            <w:tcW w:w="1233" w:type="dxa"/>
            <w:noWrap w:val="0"/>
            <w:vAlign w:val="center"/>
          </w:tcPr>
          <w:p w14:paraId="412BF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三级指标</w:t>
            </w:r>
          </w:p>
        </w:tc>
        <w:tc>
          <w:tcPr>
            <w:tcW w:w="1233" w:type="dxa"/>
            <w:noWrap w:val="0"/>
            <w:vAlign w:val="center"/>
          </w:tcPr>
          <w:p w14:paraId="6DE1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年度目标值</w:t>
            </w:r>
          </w:p>
        </w:tc>
        <w:tc>
          <w:tcPr>
            <w:tcW w:w="1233" w:type="dxa"/>
            <w:noWrap w:val="0"/>
            <w:vAlign w:val="center"/>
          </w:tcPr>
          <w:p w14:paraId="1C7D3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监控期目标值</w:t>
            </w:r>
          </w:p>
        </w:tc>
        <w:tc>
          <w:tcPr>
            <w:tcW w:w="1562" w:type="dxa"/>
            <w:noWrap w:val="0"/>
            <w:vAlign w:val="center"/>
          </w:tcPr>
          <w:p w14:paraId="63870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监控期执行情况</w:t>
            </w:r>
          </w:p>
        </w:tc>
        <w:tc>
          <w:tcPr>
            <w:tcW w:w="1560" w:type="dxa"/>
            <w:noWrap w:val="0"/>
            <w:vAlign w:val="center"/>
          </w:tcPr>
          <w:p w14:paraId="2B0A6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lang w:eastAsia="zh-CN"/>
              </w:rPr>
              <w:t>得分</w:t>
            </w:r>
          </w:p>
        </w:tc>
      </w:tr>
      <w:tr w14:paraId="271A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1409" w:type="dxa"/>
            <w:vMerge w:val="restart"/>
            <w:noWrap w:val="0"/>
            <w:vAlign w:val="center"/>
          </w:tcPr>
          <w:p w14:paraId="6F5AA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基本运行指标</w:t>
            </w:r>
          </w:p>
        </w:tc>
        <w:tc>
          <w:tcPr>
            <w:tcW w:w="1057" w:type="dxa"/>
            <w:noWrap w:val="0"/>
            <w:vAlign w:val="center"/>
          </w:tcPr>
          <w:p w14:paraId="65AFC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预算收支管理</w:t>
            </w:r>
          </w:p>
        </w:tc>
        <w:tc>
          <w:tcPr>
            <w:tcW w:w="1233" w:type="dxa"/>
            <w:noWrap w:val="0"/>
            <w:vAlign w:val="center"/>
          </w:tcPr>
          <w:p w14:paraId="59555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预算执行率</w:t>
            </w:r>
          </w:p>
        </w:tc>
        <w:tc>
          <w:tcPr>
            <w:tcW w:w="1233" w:type="dxa"/>
            <w:noWrap w:val="0"/>
            <w:vAlign w:val="center"/>
          </w:tcPr>
          <w:p w14:paraId="07355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=100%</w:t>
            </w:r>
          </w:p>
        </w:tc>
        <w:tc>
          <w:tcPr>
            <w:tcW w:w="1233" w:type="dxa"/>
            <w:noWrap w:val="0"/>
            <w:vAlign w:val="center"/>
          </w:tcPr>
          <w:p w14:paraId="5EED5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>=100%</w:t>
            </w:r>
          </w:p>
        </w:tc>
        <w:tc>
          <w:tcPr>
            <w:tcW w:w="1562" w:type="dxa"/>
            <w:noWrap w:val="0"/>
            <w:vAlign w:val="center"/>
          </w:tcPr>
          <w:p w14:paraId="22C5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</w:rPr>
              <w:t xml:space="preserve">=100% </w:t>
            </w:r>
          </w:p>
        </w:tc>
        <w:tc>
          <w:tcPr>
            <w:tcW w:w="1560" w:type="dxa"/>
            <w:noWrap w:val="0"/>
            <w:vAlign w:val="center"/>
          </w:tcPr>
          <w:p w14:paraId="0FD19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w w:val="9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</w:tr>
      <w:tr w14:paraId="665C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32" w:hRule="atLeast"/>
        </w:trPr>
        <w:tc>
          <w:tcPr>
            <w:tcW w:w="1409" w:type="dxa"/>
            <w:vMerge w:val="continue"/>
            <w:noWrap w:val="0"/>
            <w:vAlign w:val="center"/>
          </w:tcPr>
          <w:p w14:paraId="5E206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65C5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</w:rPr>
              <w:t>会计和内控制度执行有效性</w:t>
            </w:r>
          </w:p>
        </w:tc>
        <w:tc>
          <w:tcPr>
            <w:tcW w:w="1233" w:type="dxa"/>
            <w:noWrap w:val="0"/>
            <w:vAlign w:val="center"/>
          </w:tcPr>
          <w:p w14:paraId="0831E4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有效</w:t>
            </w:r>
          </w:p>
        </w:tc>
        <w:tc>
          <w:tcPr>
            <w:tcW w:w="1233" w:type="dxa"/>
            <w:noWrap w:val="0"/>
            <w:vAlign w:val="center"/>
          </w:tcPr>
          <w:p w14:paraId="2B96D30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有效</w:t>
            </w:r>
          </w:p>
        </w:tc>
        <w:tc>
          <w:tcPr>
            <w:tcW w:w="1233" w:type="dxa"/>
            <w:noWrap w:val="0"/>
            <w:vAlign w:val="center"/>
          </w:tcPr>
          <w:p w14:paraId="6DFF03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有效</w:t>
            </w:r>
          </w:p>
        </w:tc>
        <w:tc>
          <w:tcPr>
            <w:tcW w:w="1562" w:type="dxa"/>
            <w:noWrap w:val="0"/>
            <w:vAlign w:val="center"/>
          </w:tcPr>
          <w:p w14:paraId="7C9E11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有效</w:t>
            </w:r>
          </w:p>
        </w:tc>
        <w:tc>
          <w:tcPr>
            <w:tcW w:w="1560" w:type="dxa"/>
            <w:noWrap w:val="0"/>
            <w:vAlign w:val="center"/>
          </w:tcPr>
          <w:p w14:paraId="7480C1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77CA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62B61F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0FF152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资金使用合规性</w:t>
            </w:r>
          </w:p>
        </w:tc>
        <w:tc>
          <w:tcPr>
            <w:tcW w:w="1233" w:type="dxa"/>
            <w:noWrap w:val="0"/>
            <w:vAlign w:val="center"/>
          </w:tcPr>
          <w:p w14:paraId="501B6F6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合规</w:t>
            </w:r>
          </w:p>
        </w:tc>
        <w:tc>
          <w:tcPr>
            <w:tcW w:w="1233" w:type="dxa"/>
            <w:noWrap w:val="0"/>
            <w:vAlign w:val="center"/>
          </w:tcPr>
          <w:p w14:paraId="1D5256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合规</w:t>
            </w:r>
          </w:p>
        </w:tc>
        <w:tc>
          <w:tcPr>
            <w:tcW w:w="1233" w:type="dxa"/>
            <w:noWrap w:val="0"/>
            <w:vAlign w:val="center"/>
          </w:tcPr>
          <w:p w14:paraId="22FF37C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合规</w:t>
            </w:r>
          </w:p>
        </w:tc>
        <w:tc>
          <w:tcPr>
            <w:tcW w:w="1562" w:type="dxa"/>
            <w:noWrap w:val="0"/>
            <w:vAlign w:val="center"/>
          </w:tcPr>
          <w:p w14:paraId="2588D6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合规</w:t>
            </w:r>
          </w:p>
        </w:tc>
        <w:tc>
          <w:tcPr>
            <w:tcW w:w="1560" w:type="dxa"/>
            <w:noWrap w:val="0"/>
            <w:vAlign w:val="center"/>
          </w:tcPr>
          <w:p w14:paraId="103F5A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2" w:beforeLines="100" w:after="312" w:afterLines="100"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1142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restart"/>
            <w:noWrap w:val="0"/>
            <w:vAlign w:val="center"/>
          </w:tcPr>
          <w:p w14:paraId="2C78134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重点履职指标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 w14:paraId="022346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数量指标</w:t>
            </w:r>
          </w:p>
        </w:tc>
        <w:tc>
          <w:tcPr>
            <w:tcW w:w="1233" w:type="dxa"/>
            <w:noWrap w:val="0"/>
            <w:vAlign w:val="center"/>
          </w:tcPr>
          <w:p w14:paraId="672895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233" w:type="dxa"/>
            <w:noWrap w:val="0"/>
            <w:vAlign w:val="center"/>
          </w:tcPr>
          <w:p w14:paraId="49F168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5万元</w:t>
            </w:r>
          </w:p>
        </w:tc>
        <w:tc>
          <w:tcPr>
            <w:tcW w:w="1233" w:type="dxa"/>
            <w:noWrap w:val="0"/>
            <w:vAlign w:val="center"/>
          </w:tcPr>
          <w:p w14:paraId="1BF5DA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5万元</w:t>
            </w:r>
          </w:p>
        </w:tc>
        <w:tc>
          <w:tcPr>
            <w:tcW w:w="1562" w:type="dxa"/>
            <w:noWrap w:val="0"/>
            <w:vAlign w:val="center"/>
          </w:tcPr>
          <w:p w14:paraId="5934E40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5万元</w:t>
            </w:r>
          </w:p>
        </w:tc>
        <w:tc>
          <w:tcPr>
            <w:tcW w:w="1560" w:type="dxa"/>
            <w:noWrap w:val="0"/>
            <w:vAlign w:val="center"/>
          </w:tcPr>
          <w:p w14:paraId="731C9C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2008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442782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7B31F9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BCED7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lang w:eastAsia="zh-CN"/>
              </w:rPr>
              <w:t>统战工作推进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</w:rPr>
              <w:t>活动</w:t>
            </w:r>
          </w:p>
        </w:tc>
        <w:tc>
          <w:tcPr>
            <w:tcW w:w="1233" w:type="dxa"/>
            <w:noWrap w:val="0"/>
            <w:vAlign w:val="center"/>
          </w:tcPr>
          <w:p w14:paraId="6B20F9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完成次数</w:t>
            </w:r>
          </w:p>
        </w:tc>
        <w:tc>
          <w:tcPr>
            <w:tcW w:w="1233" w:type="dxa"/>
            <w:noWrap w:val="0"/>
            <w:vAlign w:val="center"/>
          </w:tcPr>
          <w:p w14:paraId="225FF8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1次</w:t>
            </w:r>
          </w:p>
        </w:tc>
        <w:tc>
          <w:tcPr>
            <w:tcW w:w="1562" w:type="dxa"/>
            <w:noWrap w:val="0"/>
            <w:vAlign w:val="center"/>
          </w:tcPr>
          <w:p w14:paraId="53486C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1次</w:t>
            </w:r>
          </w:p>
        </w:tc>
        <w:tc>
          <w:tcPr>
            <w:tcW w:w="1560" w:type="dxa"/>
            <w:noWrap w:val="0"/>
            <w:vAlign w:val="center"/>
          </w:tcPr>
          <w:p w14:paraId="7AD30E5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0432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5A958B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5C0B68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09453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会员之家建设工作</w:t>
            </w:r>
          </w:p>
        </w:tc>
        <w:tc>
          <w:tcPr>
            <w:tcW w:w="1233" w:type="dxa"/>
            <w:noWrap w:val="0"/>
            <w:vAlign w:val="center"/>
          </w:tcPr>
          <w:p w14:paraId="5F91E8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完成次数</w:t>
            </w:r>
          </w:p>
        </w:tc>
        <w:tc>
          <w:tcPr>
            <w:tcW w:w="1233" w:type="dxa"/>
            <w:noWrap w:val="0"/>
            <w:vAlign w:val="center"/>
          </w:tcPr>
          <w:p w14:paraId="156011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2次</w:t>
            </w:r>
          </w:p>
        </w:tc>
        <w:tc>
          <w:tcPr>
            <w:tcW w:w="1562" w:type="dxa"/>
            <w:noWrap w:val="0"/>
            <w:vAlign w:val="center"/>
          </w:tcPr>
          <w:p w14:paraId="06915D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2次</w:t>
            </w:r>
          </w:p>
        </w:tc>
        <w:tc>
          <w:tcPr>
            <w:tcW w:w="1560" w:type="dxa"/>
            <w:noWrap w:val="0"/>
            <w:vAlign w:val="center"/>
          </w:tcPr>
          <w:p w14:paraId="22E15B1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6431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57E5C7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197310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0124A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统战交流走访工作</w:t>
            </w:r>
          </w:p>
        </w:tc>
        <w:tc>
          <w:tcPr>
            <w:tcW w:w="1233" w:type="dxa"/>
            <w:noWrap w:val="0"/>
            <w:vAlign w:val="center"/>
          </w:tcPr>
          <w:p w14:paraId="5A1F7C8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完成次数</w:t>
            </w:r>
          </w:p>
        </w:tc>
        <w:tc>
          <w:tcPr>
            <w:tcW w:w="1233" w:type="dxa"/>
            <w:noWrap w:val="0"/>
            <w:vAlign w:val="center"/>
          </w:tcPr>
          <w:p w14:paraId="468A32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1次</w:t>
            </w:r>
          </w:p>
        </w:tc>
        <w:tc>
          <w:tcPr>
            <w:tcW w:w="1562" w:type="dxa"/>
            <w:noWrap w:val="0"/>
            <w:vAlign w:val="center"/>
          </w:tcPr>
          <w:p w14:paraId="5597D3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1次</w:t>
            </w:r>
          </w:p>
        </w:tc>
        <w:tc>
          <w:tcPr>
            <w:tcW w:w="1560" w:type="dxa"/>
            <w:noWrap w:val="0"/>
            <w:vAlign w:val="center"/>
          </w:tcPr>
          <w:p w14:paraId="2E5FA7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4CF2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70461E5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restart"/>
            <w:noWrap w:val="0"/>
            <w:vAlign w:val="center"/>
          </w:tcPr>
          <w:p w14:paraId="1E5CBCE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质量指标</w:t>
            </w:r>
          </w:p>
        </w:tc>
        <w:tc>
          <w:tcPr>
            <w:tcW w:w="1233" w:type="dxa"/>
            <w:noWrap w:val="0"/>
            <w:vAlign w:val="center"/>
          </w:tcPr>
          <w:p w14:paraId="58FEF90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统战工作推进工作覆盖率</w:t>
            </w:r>
          </w:p>
        </w:tc>
        <w:tc>
          <w:tcPr>
            <w:tcW w:w="1233" w:type="dxa"/>
            <w:noWrap w:val="0"/>
            <w:vAlign w:val="center"/>
          </w:tcPr>
          <w:p w14:paraId="2BC11B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领导班子、常委、委员、会员代表覆盖率</w:t>
            </w:r>
          </w:p>
        </w:tc>
        <w:tc>
          <w:tcPr>
            <w:tcW w:w="1233" w:type="dxa"/>
            <w:noWrap w:val="0"/>
            <w:vAlign w:val="center"/>
          </w:tcPr>
          <w:p w14:paraId="3000066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90</w:t>
            </w:r>
          </w:p>
        </w:tc>
        <w:tc>
          <w:tcPr>
            <w:tcW w:w="1562" w:type="dxa"/>
            <w:noWrap w:val="0"/>
            <w:vAlign w:val="center"/>
          </w:tcPr>
          <w:p w14:paraId="0976F4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90</w:t>
            </w:r>
          </w:p>
        </w:tc>
        <w:tc>
          <w:tcPr>
            <w:tcW w:w="1560" w:type="dxa"/>
            <w:noWrap w:val="0"/>
            <w:vAlign w:val="center"/>
          </w:tcPr>
          <w:p w14:paraId="321CF9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</w:tr>
      <w:tr w14:paraId="3439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422E0EC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0AFFEC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7F5A9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提升会员统战思想意识</w:t>
            </w:r>
          </w:p>
        </w:tc>
        <w:tc>
          <w:tcPr>
            <w:tcW w:w="1233" w:type="dxa"/>
            <w:noWrap w:val="0"/>
            <w:vAlign w:val="center"/>
          </w:tcPr>
          <w:p w14:paraId="1427B8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是否提升</w:t>
            </w:r>
          </w:p>
        </w:tc>
        <w:tc>
          <w:tcPr>
            <w:tcW w:w="1233" w:type="dxa"/>
            <w:noWrap w:val="0"/>
            <w:vAlign w:val="center"/>
          </w:tcPr>
          <w:p w14:paraId="2CF3E5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2" w:type="dxa"/>
            <w:noWrap w:val="0"/>
            <w:vAlign w:val="center"/>
          </w:tcPr>
          <w:p w14:paraId="1C83D9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0" w:type="dxa"/>
            <w:noWrap w:val="0"/>
            <w:vAlign w:val="center"/>
          </w:tcPr>
          <w:p w14:paraId="3F83B8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</w:tr>
      <w:tr w14:paraId="7D3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0A8220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258C2B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4FAC8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会员之家建设</w:t>
            </w:r>
          </w:p>
        </w:tc>
        <w:tc>
          <w:tcPr>
            <w:tcW w:w="1233" w:type="dxa"/>
            <w:noWrap w:val="0"/>
            <w:vAlign w:val="center"/>
          </w:tcPr>
          <w:p w14:paraId="3ABE5F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完成率</w:t>
            </w:r>
          </w:p>
        </w:tc>
        <w:tc>
          <w:tcPr>
            <w:tcW w:w="1233" w:type="dxa"/>
            <w:noWrap w:val="0"/>
            <w:vAlign w:val="center"/>
          </w:tcPr>
          <w:p w14:paraId="6E7673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=100%</w:t>
            </w:r>
          </w:p>
        </w:tc>
        <w:tc>
          <w:tcPr>
            <w:tcW w:w="1562" w:type="dxa"/>
            <w:noWrap w:val="0"/>
            <w:vAlign w:val="center"/>
          </w:tcPr>
          <w:p w14:paraId="121476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=100%</w:t>
            </w:r>
          </w:p>
        </w:tc>
        <w:tc>
          <w:tcPr>
            <w:tcW w:w="1560" w:type="dxa"/>
            <w:noWrap w:val="0"/>
            <w:vAlign w:val="center"/>
          </w:tcPr>
          <w:p w14:paraId="49DAC1B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</w:tr>
      <w:tr w14:paraId="3C03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3B4372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007E4E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664A9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统战交流走访活动</w:t>
            </w:r>
          </w:p>
        </w:tc>
        <w:tc>
          <w:tcPr>
            <w:tcW w:w="1233" w:type="dxa"/>
            <w:noWrap w:val="0"/>
            <w:vAlign w:val="center"/>
          </w:tcPr>
          <w:p w14:paraId="18DB04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完成率</w:t>
            </w:r>
          </w:p>
        </w:tc>
        <w:tc>
          <w:tcPr>
            <w:tcW w:w="1233" w:type="dxa"/>
            <w:noWrap w:val="0"/>
            <w:vAlign w:val="center"/>
          </w:tcPr>
          <w:p w14:paraId="02B5D88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=100%</w:t>
            </w:r>
          </w:p>
        </w:tc>
        <w:tc>
          <w:tcPr>
            <w:tcW w:w="1562" w:type="dxa"/>
            <w:noWrap w:val="0"/>
            <w:vAlign w:val="center"/>
          </w:tcPr>
          <w:p w14:paraId="001595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=100%</w:t>
            </w:r>
          </w:p>
        </w:tc>
        <w:tc>
          <w:tcPr>
            <w:tcW w:w="1560" w:type="dxa"/>
            <w:noWrap w:val="0"/>
            <w:vAlign w:val="center"/>
          </w:tcPr>
          <w:p w14:paraId="43202A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</w:tr>
      <w:tr w14:paraId="4CB5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7B2E17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restart"/>
            <w:noWrap w:val="0"/>
            <w:vAlign w:val="center"/>
          </w:tcPr>
          <w:p w14:paraId="39DF9D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时效指标</w:t>
            </w:r>
          </w:p>
        </w:tc>
        <w:tc>
          <w:tcPr>
            <w:tcW w:w="1233" w:type="dxa"/>
            <w:noWrap w:val="0"/>
            <w:vAlign w:val="center"/>
          </w:tcPr>
          <w:p w14:paraId="04D25F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统战工作推进工作时效性</w:t>
            </w:r>
          </w:p>
        </w:tc>
        <w:tc>
          <w:tcPr>
            <w:tcW w:w="1233" w:type="dxa"/>
            <w:noWrap w:val="0"/>
            <w:vAlign w:val="center"/>
          </w:tcPr>
          <w:p w14:paraId="5EDD4D2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233" w:type="dxa"/>
            <w:noWrap w:val="0"/>
            <w:vAlign w:val="center"/>
          </w:tcPr>
          <w:p w14:paraId="5249A3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2" w:type="dxa"/>
            <w:noWrap w:val="0"/>
            <w:vAlign w:val="center"/>
          </w:tcPr>
          <w:p w14:paraId="1D14A2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0" w:type="dxa"/>
            <w:noWrap w:val="0"/>
            <w:vAlign w:val="center"/>
          </w:tcPr>
          <w:p w14:paraId="50CE5F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12F4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557691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0D122D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B36F9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会员之家建设工作时效性</w:t>
            </w:r>
          </w:p>
        </w:tc>
        <w:tc>
          <w:tcPr>
            <w:tcW w:w="1233" w:type="dxa"/>
            <w:noWrap w:val="0"/>
            <w:vAlign w:val="center"/>
          </w:tcPr>
          <w:p w14:paraId="269164C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233" w:type="dxa"/>
            <w:noWrap w:val="0"/>
            <w:vAlign w:val="center"/>
          </w:tcPr>
          <w:p w14:paraId="243DAB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2" w:type="dxa"/>
            <w:noWrap w:val="0"/>
            <w:vAlign w:val="center"/>
          </w:tcPr>
          <w:p w14:paraId="7C47B87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0" w:type="dxa"/>
            <w:noWrap w:val="0"/>
            <w:vAlign w:val="center"/>
          </w:tcPr>
          <w:p w14:paraId="570DD49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577B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4A14D2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374FC55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AD3FE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统战交流走访工作时效性</w:t>
            </w:r>
          </w:p>
        </w:tc>
        <w:tc>
          <w:tcPr>
            <w:tcW w:w="1233" w:type="dxa"/>
            <w:noWrap w:val="0"/>
            <w:vAlign w:val="center"/>
          </w:tcPr>
          <w:p w14:paraId="72F08A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233" w:type="dxa"/>
            <w:noWrap w:val="0"/>
            <w:vAlign w:val="center"/>
          </w:tcPr>
          <w:p w14:paraId="7DCAE8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2" w:type="dxa"/>
            <w:noWrap w:val="0"/>
            <w:vAlign w:val="center"/>
          </w:tcPr>
          <w:p w14:paraId="1CD953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560" w:type="dxa"/>
            <w:noWrap w:val="0"/>
            <w:vAlign w:val="center"/>
          </w:tcPr>
          <w:p w14:paraId="3E5FB0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54BE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7E1B12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restart"/>
            <w:noWrap w:val="0"/>
            <w:vAlign w:val="center"/>
          </w:tcPr>
          <w:p w14:paraId="044BFA2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成本指标</w:t>
            </w:r>
          </w:p>
        </w:tc>
        <w:tc>
          <w:tcPr>
            <w:tcW w:w="1233" w:type="dxa"/>
            <w:noWrap w:val="0"/>
            <w:vAlign w:val="center"/>
          </w:tcPr>
          <w:p w14:paraId="6B12022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统战工作推进工作经费</w:t>
            </w:r>
          </w:p>
        </w:tc>
        <w:tc>
          <w:tcPr>
            <w:tcW w:w="1233" w:type="dxa"/>
            <w:noWrap w:val="0"/>
            <w:vAlign w:val="center"/>
          </w:tcPr>
          <w:p w14:paraId="613EF7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=30360元</w:t>
            </w:r>
          </w:p>
        </w:tc>
        <w:tc>
          <w:tcPr>
            <w:tcW w:w="1233" w:type="dxa"/>
            <w:noWrap w:val="0"/>
            <w:vAlign w:val="center"/>
          </w:tcPr>
          <w:p w14:paraId="4A683C9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=30360元</w:t>
            </w:r>
          </w:p>
        </w:tc>
        <w:tc>
          <w:tcPr>
            <w:tcW w:w="1562" w:type="dxa"/>
            <w:noWrap w:val="0"/>
            <w:vAlign w:val="center"/>
          </w:tcPr>
          <w:p w14:paraId="58A97B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=30360元</w:t>
            </w:r>
          </w:p>
        </w:tc>
        <w:tc>
          <w:tcPr>
            <w:tcW w:w="1560" w:type="dxa"/>
            <w:noWrap w:val="0"/>
            <w:vAlign w:val="center"/>
          </w:tcPr>
          <w:p w14:paraId="5438CF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7F75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6CEBF5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7EB620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E4C74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会员之家建设工作经费</w:t>
            </w:r>
          </w:p>
        </w:tc>
        <w:tc>
          <w:tcPr>
            <w:tcW w:w="1233" w:type="dxa"/>
            <w:noWrap w:val="0"/>
            <w:vAlign w:val="center"/>
          </w:tcPr>
          <w:p w14:paraId="5A6513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=8307元</w:t>
            </w:r>
          </w:p>
        </w:tc>
        <w:tc>
          <w:tcPr>
            <w:tcW w:w="1233" w:type="dxa"/>
            <w:noWrap w:val="0"/>
            <w:vAlign w:val="center"/>
          </w:tcPr>
          <w:p w14:paraId="5CE40B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=8307元</w:t>
            </w:r>
          </w:p>
        </w:tc>
        <w:tc>
          <w:tcPr>
            <w:tcW w:w="1562" w:type="dxa"/>
            <w:noWrap w:val="0"/>
            <w:vAlign w:val="center"/>
          </w:tcPr>
          <w:p w14:paraId="44318AB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=8307元</w:t>
            </w:r>
          </w:p>
        </w:tc>
        <w:tc>
          <w:tcPr>
            <w:tcW w:w="1560" w:type="dxa"/>
            <w:noWrap w:val="0"/>
            <w:vAlign w:val="center"/>
          </w:tcPr>
          <w:p w14:paraId="4DE691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60B2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top"/>
          </w:tcPr>
          <w:p w14:paraId="2C45F7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both"/>
              <w:textAlignment w:val="auto"/>
              <w:outlineLvl w:val="9"/>
              <w:rPr>
                <w:rFonts w:hint="eastAsia" w:ascii="Inter" w:hAnsi="宋体"/>
                <w:b/>
                <w:i w:val="0"/>
                <w:snapToGrid/>
                <w:color w:val="000000"/>
                <w:sz w:val="24"/>
                <w:shd w:val="clear" w:color="auto" w:fill="EFF0F1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28651F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AA80E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统战交流走访工作经费</w:t>
            </w:r>
          </w:p>
        </w:tc>
        <w:tc>
          <w:tcPr>
            <w:tcW w:w="1233" w:type="dxa"/>
            <w:noWrap w:val="0"/>
            <w:vAlign w:val="center"/>
          </w:tcPr>
          <w:p w14:paraId="5976AC5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=11333元</w:t>
            </w:r>
          </w:p>
        </w:tc>
        <w:tc>
          <w:tcPr>
            <w:tcW w:w="1233" w:type="dxa"/>
            <w:noWrap w:val="0"/>
            <w:vAlign w:val="center"/>
          </w:tcPr>
          <w:p w14:paraId="4F8D6B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=11333元</w:t>
            </w:r>
          </w:p>
        </w:tc>
        <w:tc>
          <w:tcPr>
            <w:tcW w:w="1562" w:type="dxa"/>
            <w:noWrap w:val="0"/>
            <w:vAlign w:val="center"/>
          </w:tcPr>
          <w:p w14:paraId="6E9841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=11333元</w:t>
            </w:r>
          </w:p>
        </w:tc>
        <w:tc>
          <w:tcPr>
            <w:tcW w:w="1560" w:type="dxa"/>
            <w:noWrap w:val="0"/>
            <w:vAlign w:val="center"/>
          </w:tcPr>
          <w:p w14:paraId="2BBA05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5A7B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restart"/>
            <w:noWrap w:val="0"/>
            <w:vAlign w:val="center"/>
          </w:tcPr>
          <w:p w14:paraId="271836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部门综合指标</w:t>
            </w:r>
          </w:p>
        </w:tc>
        <w:tc>
          <w:tcPr>
            <w:tcW w:w="1057" w:type="dxa"/>
            <w:noWrap w:val="0"/>
            <w:vAlign w:val="center"/>
          </w:tcPr>
          <w:p w14:paraId="237DE7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经济效益</w:t>
            </w:r>
          </w:p>
        </w:tc>
        <w:tc>
          <w:tcPr>
            <w:tcW w:w="1233" w:type="dxa"/>
            <w:noWrap w:val="0"/>
            <w:vAlign w:val="center"/>
          </w:tcPr>
          <w:p w14:paraId="48A98C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预算资金使用情况</w:t>
            </w:r>
          </w:p>
        </w:tc>
        <w:tc>
          <w:tcPr>
            <w:tcW w:w="1233" w:type="dxa"/>
            <w:noWrap w:val="0"/>
            <w:vAlign w:val="center"/>
          </w:tcPr>
          <w:p w14:paraId="1A2056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合理</w:t>
            </w:r>
          </w:p>
        </w:tc>
        <w:tc>
          <w:tcPr>
            <w:tcW w:w="1233" w:type="dxa"/>
            <w:noWrap w:val="0"/>
            <w:vAlign w:val="center"/>
          </w:tcPr>
          <w:p w14:paraId="4866AA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合理</w:t>
            </w:r>
          </w:p>
        </w:tc>
        <w:tc>
          <w:tcPr>
            <w:tcW w:w="1562" w:type="dxa"/>
            <w:noWrap w:val="0"/>
            <w:vAlign w:val="center"/>
          </w:tcPr>
          <w:p w14:paraId="14EA38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合理</w:t>
            </w:r>
          </w:p>
        </w:tc>
        <w:tc>
          <w:tcPr>
            <w:tcW w:w="1560" w:type="dxa"/>
            <w:noWrap w:val="0"/>
            <w:vAlign w:val="center"/>
          </w:tcPr>
          <w:p w14:paraId="7E3F0B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3B6A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24AA63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restart"/>
            <w:noWrap w:val="0"/>
            <w:vAlign w:val="center"/>
          </w:tcPr>
          <w:p w14:paraId="07025B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社会效益</w:t>
            </w:r>
          </w:p>
        </w:tc>
        <w:tc>
          <w:tcPr>
            <w:tcW w:w="1233" w:type="dxa"/>
            <w:noWrap w:val="0"/>
            <w:vAlign w:val="center"/>
          </w:tcPr>
          <w:p w14:paraId="759AC6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社会影响力</w:t>
            </w:r>
          </w:p>
        </w:tc>
        <w:tc>
          <w:tcPr>
            <w:tcW w:w="1233" w:type="dxa"/>
            <w:noWrap w:val="0"/>
            <w:vAlign w:val="center"/>
          </w:tcPr>
          <w:p w14:paraId="69A0A1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233" w:type="dxa"/>
            <w:noWrap w:val="0"/>
            <w:vAlign w:val="center"/>
          </w:tcPr>
          <w:p w14:paraId="2F4F13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2" w:type="dxa"/>
            <w:noWrap w:val="0"/>
            <w:vAlign w:val="center"/>
          </w:tcPr>
          <w:p w14:paraId="53D2D6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0" w:type="dxa"/>
            <w:noWrap w:val="0"/>
            <w:vAlign w:val="center"/>
          </w:tcPr>
          <w:p w14:paraId="450EB4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0AC4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3D6ABBC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vMerge w:val="continue"/>
            <w:noWrap w:val="0"/>
            <w:vAlign w:val="center"/>
          </w:tcPr>
          <w:p w14:paraId="5325EC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6D234C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组织凝聚力</w:t>
            </w:r>
          </w:p>
        </w:tc>
        <w:tc>
          <w:tcPr>
            <w:tcW w:w="1233" w:type="dxa"/>
            <w:noWrap w:val="0"/>
            <w:vAlign w:val="center"/>
          </w:tcPr>
          <w:p w14:paraId="6A4A7C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233" w:type="dxa"/>
            <w:noWrap w:val="0"/>
            <w:vAlign w:val="center"/>
          </w:tcPr>
          <w:p w14:paraId="4C81E4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2" w:type="dxa"/>
            <w:noWrap w:val="0"/>
            <w:vAlign w:val="center"/>
          </w:tcPr>
          <w:p w14:paraId="4DDE3F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0" w:type="dxa"/>
            <w:noWrap w:val="0"/>
            <w:vAlign w:val="center"/>
          </w:tcPr>
          <w:p w14:paraId="4E2950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68DC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1AA6C66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4D66C2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生态效益</w:t>
            </w:r>
          </w:p>
        </w:tc>
        <w:tc>
          <w:tcPr>
            <w:tcW w:w="1233" w:type="dxa"/>
            <w:noWrap w:val="0"/>
            <w:vAlign w:val="center"/>
          </w:tcPr>
          <w:p w14:paraId="576512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政治生态</w:t>
            </w:r>
          </w:p>
        </w:tc>
        <w:tc>
          <w:tcPr>
            <w:tcW w:w="1233" w:type="dxa"/>
            <w:noWrap w:val="0"/>
            <w:vAlign w:val="center"/>
          </w:tcPr>
          <w:p w14:paraId="314906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233" w:type="dxa"/>
            <w:noWrap w:val="0"/>
            <w:vAlign w:val="center"/>
          </w:tcPr>
          <w:p w14:paraId="231FC1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562" w:type="dxa"/>
            <w:noWrap w:val="0"/>
            <w:vAlign w:val="center"/>
          </w:tcPr>
          <w:p w14:paraId="5C48BA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560" w:type="dxa"/>
            <w:noWrap w:val="0"/>
            <w:vAlign w:val="center"/>
          </w:tcPr>
          <w:p w14:paraId="6C8AC8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5D5F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50E110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64678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服务对象满意度</w:t>
            </w:r>
          </w:p>
        </w:tc>
        <w:tc>
          <w:tcPr>
            <w:tcW w:w="1233" w:type="dxa"/>
            <w:noWrap w:val="0"/>
            <w:vAlign w:val="center"/>
          </w:tcPr>
          <w:p w14:paraId="3DEB6B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参与基层统战工作人员满意度</w:t>
            </w:r>
          </w:p>
        </w:tc>
        <w:tc>
          <w:tcPr>
            <w:tcW w:w="1233" w:type="dxa"/>
            <w:noWrap w:val="0"/>
            <w:vAlign w:val="center"/>
          </w:tcPr>
          <w:p w14:paraId="49A9AF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90%</w:t>
            </w:r>
          </w:p>
        </w:tc>
        <w:tc>
          <w:tcPr>
            <w:tcW w:w="1233" w:type="dxa"/>
            <w:noWrap w:val="0"/>
            <w:vAlign w:val="center"/>
          </w:tcPr>
          <w:p w14:paraId="4A9ECD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98%</w:t>
            </w:r>
          </w:p>
        </w:tc>
        <w:tc>
          <w:tcPr>
            <w:tcW w:w="1562" w:type="dxa"/>
            <w:noWrap w:val="0"/>
            <w:vAlign w:val="center"/>
          </w:tcPr>
          <w:p w14:paraId="5308BE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98%</w:t>
            </w:r>
          </w:p>
        </w:tc>
        <w:tc>
          <w:tcPr>
            <w:tcW w:w="1560" w:type="dxa"/>
            <w:noWrap w:val="0"/>
            <w:vAlign w:val="center"/>
          </w:tcPr>
          <w:p w14:paraId="4E1218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2C3B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restart"/>
            <w:noWrap w:val="0"/>
            <w:vAlign w:val="center"/>
          </w:tcPr>
          <w:p w14:paraId="5242D3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可持续发展能力指标</w:t>
            </w:r>
          </w:p>
        </w:tc>
        <w:tc>
          <w:tcPr>
            <w:tcW w:w="1057" w:type="dxa"/>
            <w:noWrap w:val="0"/>
            <w:vAlign w:val="center"/>
          </w:tcPr>
          <w:p w14:paraId="74F99B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组织建设</w:t>
            </w:r>
          </w:p>
        </w:tc>
        <w:tc>
          <w:tcPr>
            <w:tcW w:w="1233" w:type="dxa"/>
            <w:noWrap w:val="0"/>
            <w:vAlign w:val="center"/>
          </w:tcPr>
          <w:p w14:paraId="2FA650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会员之家开展情况</w:t>
            </w:r>
          </w:p>
        </w:tc>
        <w:tc>
          <w:tcPr>
            <w:tcW w:w="1233" w:type="dxa"/>
            <w:noWrap w:val="0"/>
            <w:vAlign w:val="center"/>
          </w:tcPr>
          <w:p w14:paraId="59EC2A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233" w:type="dxa"/>
            <w:noWrap w:val="0"/>
            <w:vAlign w:val="center"/>
          </w:tcPr>
          <w:p w14:paraId="342FF7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562" w:type="dxa"/>
            <w:noWrap w:val="0"/>
            <w:vAlign w:val="center"/>
          </w:tcPr>
          <w:p w14:paraId="61EF0A2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良好</w:t>
            </w:r>
          </w:p>
        </w:tc>
        <w:tc>
          <w:tcPr>
            <w:tcW w:w="1560" w:type="dxa"/>
            <w:noWrap w:val="0"/>
            <w:vAlign w:val="center"/>
          </w:tcPr>
          <w:p w14:paraId="5AC41E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  <w:tr w14:paraId="2FE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9" w:type="dxa"/>
            <w:vMerge w:val="continue"/>
            <w:noWrap w:val="0"/>
            <w:vAlign w:val="center"/>
          </w:tcPr>
          <w:p w14:paraId="03EEC6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EE7AA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思想认识</w:t>
            </w:r>
          </w:p>
        </w:tc>
        <w:tc>
          <w:tcPr>
            <w:tcW w:w="1233" w:type="dxa"/>
            <w:noWrap w:val="0"/>
            <w:vAlign w:val="center"/>
          </w:tcPr>
          <w:p w14:paraId="7375D1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统战工作思想认识提升情况</w:t>
            </w:r>
          </w:p>
        </w:tc>
        <w:tc>
          <w:tcPr>
            <w:tcW w:w="1233" w:type="dxa"/>
            <w:noWrap w:val="0"/>
            <w:vAlign w:val="center"/>
          </w:tcPr>
          <w:p w14:paraId="614E38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233" w:type="dxa"/>
            <w:noWrap w:val="0"/>
            <w:vAlign w:val="center"/>
          </w:tcPr>
          <w:p w14:paraId="311D98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2" w:type="dxa"/>
            <w:noWrap w:val="0"/>
            <w:vAlign w:val="center"/>
          </w:tcPr>
          <w:p w14:paraId="731D208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eastAsia="zh-CN"/>
              </w:rPr>
              <w:t>提升</w:t>
            </w:r>
          </w:p>
        </w:tc>
        <w:tc>
          <w:tcPr>
            <w:tcW w:w="1560" w:type="dxa"/>
            <w:noWrap w:val="0"/>
            <w:vAlign w:val="center"/>
          </w:tcPr>
          <w:p w14:paraId="6543EF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125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</w:tr>
    </w:tbl>
    <w:p w14:paraId="4F2E1A79">
      <w:pPr>
        <w:pStyle w:val="2"/>
        <w:numPr>
          <w:ilvl w:val="0"/>
          <w:numId w:val="0"/>
        </w:numPr>
        <w:spacing w:line="660" w:lineRule="exact"/>
        <w:ind w:right="125" w:rightChars="0"/>
        <w:jc w:val="both"/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分为优、良、中、差四个等级，根据各项指标的得分情况确定评价等级。总分 100 分，90 分及以上为优，80-89 分为良，60-79 分为中，60 分以下为差。</w:t>
      </w:r>
    </w:p>
    <w:p w14:paraId="1153DDBC">
      <w:pPr>
        <w:pStyle w:val="2"/>
        <w:spacing w:line="660" w:lineRule="exact"/>
        <w:ind w:left="111" w:right="125" w:firstLine="639"/>
        <w:jc w:val="both"/>
        <w:rPr>
          <w:rFonts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（三）绩效评价工作过程</w:t>
      </w:r>
    </w:p>
    <w:p w14:paraId="5B7D634E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1.评价准备阶段。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组建了由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主委和各科室负责人为组员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的评价小组，明确了各成员的职责。制定了详细的评价方案，收集了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工作计划、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方案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等相关材料，为评价工作的开展做好了充分准备。</w:t>
      </w:r>
    </w:p>
    <w:p w14:paraId="4C4F809F">
      <w:pPr>
        <w:pStyle w:val="2"/>
        <w:numPr>
          <w:ilvl w:val="0"/>
          <w:numId w:val="4"/>
        </w:numPr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eastAsia="zh-CN"/>
        </w:rPr>
        <w:t>评价实施阶段。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评价小组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依据工作计划，对照各科室的项目方案、人员参与情况、经费使用、项目结果等进行评价。</w:t>
      </w:r>
    </w:p>
    <w:p w14:paraId="1EB1A883">
      <w:pPr>
        <w:pStyle w:val="2"/>
        <w:numPr>
          <w:ilvl w:val="0"/>
          <w:numId w:val="5"/>
        </w:numPr>
        <w:spacing w:line="660" w:lineRule="exact"/>
        <w:ind w:left="753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综合评价情况及评价结论（附相关评分表）</w:t>
      </w:r>
    </w:p>
    <w:p w14:paraId="2532007B">
      <w:pPr>
        <w:pStyle w:val="2"/>
        <w:numPr>
          <w:ilvl w:val="0"/>
          <w:numId w:val="0"/>
        </w:numPr>
        <w:spacing w:line="660" w:lineRule="exact"/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经过综合评价，本项目总得分为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分，评价等级为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优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。具体评分情况详见下表：</w:t>
      </w:r>
    </w:p>
    <w:p w14:paraId="7CADD02C">
      <w:pPr>
        <w:pStyle w:val="2"/>
        <w:numPr>
          <w:ilvl w:val="0"/>
          <w:numId w:val="0"/>
        </w:numPr>
        <w:spacing w:line="660" w:lineRule="exact"/>
        <w:rPr>
          <w:rFonts w:hint="eastAsia" w:ascii="黑体" w:eastAsia="黑体"/>
          <w:vertAlign w:val="baseline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   </w:t>
      </w:r>
    </w:p>
    <w:tbl>
      <w:tblPr>
        <w:tblStyle w:val="4"/>
        <w:tblpPr w:leftFromText="180" w:rightFromText="180" w:vertAnchor="text" w:horzAnchor="page" w:tblpX="2376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88"/>
        <w:gridCol w:w="2750"/>
      </w:tblGrid>
      <w:tr w14:paraId="154A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8" w:type="dxa"/>
            <w:noWrap w:val="0"/>
            <w:vAlign w:val="top"/>
          </w:tcPr>
          <w:p w14:paraId="7D6B3D05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2750" w:type="dxa"/>
            <w:noWrap w:val="0"/>
            <w:vAlign w:val="top"/>
          </w:tcPr>
          <w:p w14:paraId="166BE525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得分</w:t>
            </w:r>
          </w:p>
        </w:tc>
      </w:tr>
      <w:tr w14:paraId="0A17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8" w:type="dxa"/>
            <w:noWrap w:val="0"/>
            <w:vAlign w:val="top"/>
          </w:tcPr>
          <w:p w14:paraId="61007F5D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基本运行指标</w:t>
            </w:r>
          </w:p>
        </w:tc>
        <w:tc>
          <w:tcPr>
            <w:tcW w:w="2750" w:type="dxa"/>
            <w:noWrap w:val="0"/>
            <w:vAlign w:val="top"/>
          </w:tcPr>
          <w:p w14:paraId="606209C7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</w:t>
            </w:r>
          </w:p>
        </w:tc>
      </w:tr>
      <w:tr w14:paraId="012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8" w:type="dxa"/>
            <w:noWrap w:val="0"/>
            <w:vAlign w:val="top"/>
          </w:tcPr>
          <w:p w14:paraId="10CC41AD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重点履职指标</w:t>
            </w:r>
          </w:p>
        </w:tc>
        <w:tc>
          <w:tcPr>
            <w:tcW w:w="2750" w:type="dxa"/>
            <w:noWrap w:val="0"/>
            <w:vAlign w:val="top"/>
          </w:tcPr>
          <w:p w14:paraId="7B9B1E9C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60</w:t>
            </w:r>
          </w:p>
        </w:tc>
      </w:tr>
      <w:tr w14:paraId="099C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8" w:type="dxa"/>
            <w:noWrap w:val="0"/>
            <w:vAlign w:val="top"/>
          </w:tcPr>
          <w:p w14:paraId="3AB49728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部门综合指标</w:t>
            </w:r>
          </w:p>
        </w:tc>
        <w:tc>
          <w:tcPr>
            <w:tcW w:w="2750" w:type="dxa"/>
            <w:noWrap w:val="0"/>
            <w:vAlign w:val="top"/>
          </w:tcPr>
          <w:p w14:paraId="5BEA7F65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</w:t>
            </w:r>
          </w:p>
        </w:tc>
      </w:tr>
      <w:tr w14:paraId="73F1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8" w:type="dxa"/>
            <w:noWrap w:val="0"/>
            <w:vAlign w:val="top"/>
          </w:tcPr>
          <w:p w14:paraId="4A6D80B7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可持续发展能力指标</w:t>
            </w:r>
          </w:p>
        </w:tc>
        <w:tc>
          <w:tcPr>
            <w:tcW w:w="2750" w:type="dxa"/>
            <w:noWrap w:val="0"/>
            <w:vAlign w:val="top"/>
          </w:tcPr>
          <w:p w14:paraId="3F762F7D">
            <w:pPr>
              <w:pStyle w:val="2"/>
              <w:numPr>
                <w:ilvl w:val="0"/>
                <w:numId w:val="0"/>
              </w:numPr>
              <w:spacing w:line="660" w:lineRule="exac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</w:tr>
    </w:tbl>
    <w:p w14:paraId="148AD0B1">
      <w:pPr>
        <w:pStyle w:val="2"/>
        <w:numPr>
          <w:ilvl w:val="0"/>
          <w:numId w:val="0"/>
        </w:numPr>
        <w:spacing w:line="660" w:lineRule="exact"/>
        <w:rPr>
          <w:rFonts w:hint="eastAsia" w:ascii="黑体" w:eastAsia="黑体"/>
          <w:lang w:val="en-US" w:eastAsia="zh-CN"/>
        </w:rPr>
      </w:pPr>
    </w:p>
    <w:p w14:paraId="1C09F203">
      <w:pPr>
        <w:pStyle w:val="2"/>
        <w:spacing w:line="660" w:lineRule="exact"/>
        <w:ind w:left="753"/>
        <w:rPr>
          <w:rFonts w:hint="eastAsia" w:ascii="黑体" w:eastAsia="黑体"/>
          <w:lang w:eastAsia="zh-CN"/>
        </w:rPr>
      </w:pPr>
    </w:p>
    <w:p w14:paraId="159047CD">
      <w:pPr>
        <w:pStyle w:val="2"/>
        <w:spacing w:line="660" w:lineRule="exact"/>
        <w:ind w:left="753"/>
        <w:rPr>
          <w:rFonts w:hint="eastAsia" w:ascii="黑体" w:eastAsia="黑体"/>
          <w:lang w:eastAsia="zh-CN"/>
        </w:rPr>
      </w:pPr>
    </w:p>
    <w:p w14:paraId="6F91C9FE">
      <w:pPr>
        <w:pStyle w:val="2"/>
        <w:spacing w:line="660" w:lineRule="exact"/>
        <w:ind w:left="753"/>
        <w:rPr>
          <w:rFonts w:hint="eastAsia" w:ascii="黑体" w:eastAsia="黑体"/>
          <w:lang w:eastAsia="zh-CN"/>
        </w:rPr>
      </w:pPr>
    </w:p>
    <w:p w14:paraId="6486A11D">
      <w:pPr>
        <w:pStyle w:val="2"/>
        <w:spacing w:line="660" w:lineRule="exac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</w:p>
    <w:p w14:paraId="13F96547">
      <w:pPr>
        <w:pStyle w:val="2"/>
        <w:spacing w:line="660" w:lineRule="exact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</w:p>
    <w:p w14:paraId="02EE552C">
      <w:pPr>
        <w:pStyle w:val="2"/>
        <w:spacing w:line="660" w:lineRule="exact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评价结论：本项目立项依据充分，绩效目标设置合理，组织管理基本规范，预算执行情况总体较好，各项工作取得了一定的成效，基本达到了预期目标。</w:t>
      </w:r>
    </w:p>
    <w:p w14:paraId="5F055224">
      <w:pPr>
        <w:pStyle w:val="2"/>
        <w:spacing w:line="660" w:lineRule="exact"/>
        <w:ind w:left="753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四、绩效评价指标分析</w:t>
      </w:r>
    </w:p>
    <w:p w14:paraId="7FD00CAD">
      <w:pPr>
        <w:pStyle w:val="2"/>
        <w:spacing w:line="660" w:lineRule="exact"/>
        <w:ind w:left="111" w:right="125" w:firstLine="639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（一）项目决策情况。</w:t>
      </w:r>
    </w:p>
    <w:p w14:paraId="0E4052DC">
      <w:pPr>
        <w:pStyle w:val="2"/>
        <w:spacing w:line="660" w:lineRule="exact"/>
        <w:ind w:left="111" w:right="125" w:firstLine="639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决策环节总体较为规范，立项背景充分，符合基层统战工作的实际需求，绩效目标与立项目的具有较强的相关性和合理性。但在决策过程中，对部分特殊情况的考虑不够周全，导致在项目实施过程中出现了一些小的调整。</w:t>
      </w:r>
    </w:p>
    <w:p w14:paraId="1F849295">
      <w:pPr>
        <w:pStyle w:val="2"/>
        <w:numPr>
          <w:ilvl w:val="0"/>
          <w:numId w:val="6"/>
        </w:numPr>
        <w:spacing w:line="660" w:lineRule="exact"/>
        <w:ind w:left="111" w:right="125" w:firstLine="639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项目过程情况。</w:t>
      </w:r>
    </w:p>
    <w:p w14:paraId="2CDFC1D2">
      <w:pPr>
        <w:pStyle w:val="2"/>
        <w:numPr>
          <w:ilvl w:val="0"/>
          <w:numId w:val="0"/>
        </w:numPr>
        <w:spacing w:line="660" w:lineRule="exact"/>
        <w:ind w:right="125" w:rightChars="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项目过程管理基本到位，资金拨付及时，使用范围符合预算规定。</w:t>
      </w:r>
    </w:p>
    <w:p w14:paraId="16C417ED">
      <w:pPr>
        <w:pStyle w:val="2"/>
        <w:numPr>
          <w:ilvl w:val="0"/>
          <w:numId w:val="7"/>
        </w:numPr>
        <w:spacing w:line="660" w:lineRule="exact"/>
        <w:ind w:left="111" w:right="125" w:firstLine="639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项目产出情况。</w:t>
      </w:r>
    </w:p>
    <w:p w14:paraId="19C722B2">
      <w:pPr>
        <w:pStyle w:val="2"/>
        <w:numPr>
          <w:ilvl w:val="0"/>
          <w:numId w:val="0"/>
        </w:numPr>
        <w:spacing w:line="660" w:lineRule="exact"/>
        <w:ind w:right="125" w:rightChars="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项目产出方面，已按计划开展了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基层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统战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各项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活动，联系了一定数量的统战对象，优化了部分统战工作服务流程。</w:t>
      </w:r>
    </w:p>
    <w:p w14:paraId="5253B1A9">
      <w:pPr>
        <w:pStyle w:val="2"/>
        <w:numPr>
          <w:ilvl w:val="0"/>
          <w:numId w:val="8"/>
        </w:numPr>
        <w:spacing w:line="660" w:lineRule="exact"/>
        <w:ind w:left="111" w:right="125" w:firstLine="639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lang w:eastAsia="zh-CN"/>
        </w:rPr>
        <w:t>项目效益情况。</w:t>
      </w:r>
    </w:p>
    <w:p w14:paraId="45D05233">
      <w:pPr>
        <w:pStyle w:val="2"/>
        <w:numPr>
          <w:ilvl w:val="0"/>
          <w:numId w:val="0"/>
        </w:numPr>
        <w:spacing w:line="660" w:lineRule="exact"/>
        <w:ind w:right="125" w:rightChars="0"/>
        <w:jc w:val="both"/>
        <w:rPr>
          <w:rFonts w:hint="eastAsia" w:ascii="Times New Roman" w:hAnsi="Times New Roman" w:eastAsia="仿宋_GB2312" w:cs="Times New Roman"/>
          <w:kern w:val="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项目取得了一定的效益，通过开展统战工作，凝聚了部分社会力量，在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统战工作思想提升、社会效益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等方面发挥了一定作用，统战对象满意度达到了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  <w:t>90%以上。</w:t>
      </w:r>
    </w:p>
    <w:p w14:paraId="451A10A2">
      <w:pPr>
        <w:pStyle w:val="2"/>
        <w:numPr>
          <w:ilvl w:val="0"/>
          <w:numId w:val="9"/>
        </w:numPr>
        <w:spacing w:line="660" w:lineRule="exact"/>
        <w:ind w:left="753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项目主要经验及做法</w:t>
      </w:r>
    </w:p>
    <w:p w14:paraId="241ED476">
      <w:pPr>
        <w:pStyle w:val="2"/>
        <w:numPr>
          <w:ilvl w:val="0"/>
          <w:numId w:val="0"/>
        </w:numPr>
        <w:spacing w:line="660" w:lineRule="exact"/>
        <w:ind w:firstLine="643" w:firstLineChars="200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注重沟通协调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：在项目实施过程中，加强与各统战对象的沟通交流，及时了解他们的需求和意见，根据反馈情况调整工作内容和方式，提高了工作的针对性和实效性。</w:t>
      </w:r>
    </w:p>
    <w:p w14:paraId="5094DA2A">
      <w:pPr>
        <w:pStyle w:val="2"/>
        <w:numPr>
          <w:ilvl w:val="0"/>
          <w:numId w:val="0"/>
        </w:numPr>
        <w:spacing w:line="660" w:lineRule="exact"/>
        <w:ind w:firstLine="643" w:firstLineChars="200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强化团队协作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：项目工作小组成员分工明确，密切配合，形成了强大的工作合力，确保了各项工作的顺利推进。</w:t>
      </w:r>
    </w:p>
    <w:p w14:paraId="42898A56">
      <w:pPr>
        <w:pStyle w:val="2"/>
        <w:numPr>
          <w:ilvl w:val="0"/>
          <w:numId w:val="0"/>
        </w:numPr>
        <w:spacing w:line="660" w:lineRule="exact"/>
        <w:ind w:firstLine="643" w:firstLineChars="200"/>
        <w:rPr>
          <w:rFonts w:hint="eastAsia" w:ascii="Inter" w:hAnsi="宋体"/>
          <w:b w:val="0"/>
          <w:i w:val="0"/>
          <w:snapToGrid/>
          <w:color w:val="000000"/>
          <w:sz w:val="24"/>
          <w:shd w:val="clear" w:color="auto" w:fill="EFF0F1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严格资金管理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：严格按照预算规定使用资金，加强对资金使用的审核和监督，确保资金使用规范、高效。</w:t>
      </w:r>
    </w:p>
    <w:p w14:paraId="7CEA2B66">
      <w:pPr>
        <w:pStyle w:val="2"/>
        <w:numPr>
          <w:ilvl w:val="0"/>
          <w:numId w:val="10"/>
        </w:numPr>
        <w:spacing w:line="660" w:lineRule="exact"/>
        <w:ind w:left="753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存在的问题及原因分析</w:t>
      </w:r>
    </w:p>
    <w:p w14:paraId="1C99B9A7">
      <w:pPr>
        <w:pStyle w:val="2"/>
        <w:numPr>
          <w:ilvl w:val="0"/>
          <w:numId w:val="0"/>
        </w:numPr>
        <w:spacing w:line="660" w:lineRule="exact"/>
        <w:ind w:firstLine="643" w:firstLineChars="200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预算执行不够理想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：部分费用支出进度较慢，主要原因是活动安排与实际情况存在偏差，如部分活动因天气、人员等客观因素推迟举办，导致资金未能及时使用。</w:t>
      </w:r>
    </w:p>
    <w:p w14:paraId="440E2076">
      <w:pPr>
        <w:pStyle w:val="2"/>
        <w:numPr>
          <w:ilvl w:val="0"/>
          <w:numId w:val="0"/>
        </w:numPr>
        <w:spacing w:line="660" w:lineRule="exact"/>
        <w:ind w:firstLine="643" w:firstLineChars="200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项目管理有待加强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：项目管理制度在执行过程中存在松懈现象，对部分工作环节的监督不够到位，导致工作效率降低。主要原因是对制度的宣传和执行力度不够，工作人员的责任意识有待提高。</w:t>
      </w:r>
    </w:p>
    <w:p w14:paraId="5F687927">
      <w:pPr>
        <w:pStyle w:val="2"/>
        <w:spacing w:line="660" w:lineRule="exact"/>
        <w:ind w:left="753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eastAsia="zh-CN"/>
        </w:rPr>
        <w:t>七、有关建议</w:t>
      </w:r>
    </w:p>
    <w:p w14:paraId="3E1D6841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加强预算管理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：在制定预算时，充分考虑各种可能影响活动开展的因素，提高预算的科学性和合理性。加强对预算执行的动态监控，及时调整活动计划，加快资金支出进度，确保预算执行率达到预期目标。</w:t>
      </w:r>
    </w:p>
    <w:p w14:paraId="2F89535D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优化绩效目标管理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：针对特殊领域的统战对象，开展深入调研，制定更加精准的联系方案，拓宽联系渠道，加大工作力度，确保绩效目标的顺利达成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  <w:lang w:eastAsia="zh-CN"/>
        </w:rPr>
        <w:t>。</w:t>
      </w:r>
    </w:p>
    <w:p w14:paraId="589BE8B2">
      <w:pPr>
        <w:pStyle w:val="2"/>
        <w:spacing w:line="660" w:lineRule="exact"/>
        <w:ind w:left="111" w:right="125" w:firstLine="639"/>
        <w:jc w:val="both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强化项目管理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：加强项目管理制度的宣传和培训，提高工作人员的制度意识和责任意识。建立健全监督检查机制，定期对项目实施过程进行检查评估，及时发现和解决问题，提高工作效率和质量。</w:t>
      </w:r>
    </w:p>
    <w:p w14:paraId="0D804871">
      <w:pPr>
        <w:pStyle w:val="2"/>
        <w:spacing w:line="660" w:lineRule="exact"/>
        <w:ind w:left="111" w:right="125" w:firstLine="639"/>
        <w:jc w:val="both"/>
        <w:rPr>
          <w:rFonts w:hint="default" w:ascii="Inter" w:hAnsi="宋体"/>
          <w:b w:val="0"/>
          <w:i w:val="0"/>
          <w:snapToGrid/>
          <w:color w:val="000000"/>
          <w:sz w:val="24"/>
          <w:shd w:val="clear" w:color="auto" w:fill="EFF0F1"/>
          <w:lang w:eastAsia="zh-CN"/>
        </w:rPr>
      </w:pPr>
      <w:r>
        <w:rPr>
          <w:rFonts w:hint="eastAsia" w:ascii="仿宋" w:hAnsi="仿宋" w:eastAsia="仿宋" w:cs="仿宋"/>
          <w:b/>
          <w:i w:val="0"/>
          <w:snapToGrid/>
          <w:color w:val="000000"/>
          <w:sz w:val="32"/>
          <w:szCs w:val="32"/>
          <w:shd w:val="clear" w:color="auto" w:fill="auto"/>
        </w:rPr>
        <w:t>完善工作机制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：进一步完善与统战对象的长效联系机制，定期开展交流活动，及时了解他们的诉求和建议，为基层统战工作的持续开展提供有力支撑。</w:t>
      </w:r>
    </w:p>
    <w:p w14:paraId="3F43C077">
      <w:pPr>
        <w:pStyle w:val="2"/>
        <w:spacing w:line="660" w:lineRule="exact"/>
        <w:ind w:left="111" w:right="125" w:firstLine="639"/>
        <w:jc w:val="both"/>
        <w:rPr>
          <w:rFonts w:ascii="黑体" w:hAnsi="黑体" w:eastAsia="黑体" w:cs="Times New Roman"/>
          <w:kern w:val="2"/>
          <w:lang w:eastAsia="zh-CN"/>
        </w:rPr>
      </w:pPr>
      <w:r>
        <w:rPr>
          <w:rFonts w:hint="eastAsia" w:ascii="黑体" w:hAnsi="黑体" w:eastAsia="黑体" w:cs="Times New Roman"/>
          <w:kern w:val="2"/>
          <w:lang w:eastAsia="zh-CN"/>
        </w:rPr>
        <w:t>八、其他需要说明的问题</w:t>
      </w:r>
    </w:p>
    <w:p w14:paraId="42A0C757">
      <w:pPr>
        <w:pStyle w:val="2"/>
        <w:spacing w:line="660" w:lineRule="exact"/>
        <w:ind w:left="111" w:right="125" w:firstLine="639"/>
        <w:jc w:val="both"/>
        <w:rPr>
          <w:rFonts w:ascii="仿宋_GB2312" w:hAnsi="Times New Roman" w:eastAsia="仿宋_GB2312" w:cs="Times New Roman"/>
          <w:kern w:val="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auto"/>
        </w:rPr>
        <w:t>无其他需要说明的问题。</w:t>
      </w:r>
    </w:p>
    <w:p w14:paraId="19C7B2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ter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D9CC1"/>
    <w:multiLevelType w:val="singleLevel"/>
    <w:tmpl w:val="689D9CC1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89E9FD6"/>
    <w:multiLevelType w:val="singleLevel"/>
    <w:tmpl w:val="689E9FD6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689EA343"/>
    <w:multiLevelType w:val="singleLevel"/>
    <w:tmpl w:val="689EA343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689EA562"/>
    <w:multiLevelType w:val="singleLevel"/>
    <w:tmpl w:val="689EA562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89EA56F"/>
    <w:multiLevelType w:val="singleLevel"/>
    <w:tmpl w:val="689EA56F"/>
    <w:lvl w:ilvl="0" w:tentative="0">
      <w:start w:val="3"/>
      <w:numFmt w:val="chineseCounting"/>
      <w:suff w:val="nothing"/>
      <w:lvlText w:val="（%1）"/>
      <w:lvlJc w:val="left"/>
    </w:lvl>
  </w:abstractNum>
  <w:abstractNum w:abstractNumId="5">
    <w:nsid w:val="689EA57C"/>
    <w:multiLevelType w:val="singleLevel"/>
    <w:tmpl w:val="689EA57C"/>
    <w:lvl w:ilvl="0" w:tentative="0">
      <w:start w:val="4"/>
      <w:numFmt w:val="chineseCounting"/>
      <w:suff w:val="nothing"/>
      <w:lvlText w:val="（%1）"/>
      <w:lvlJc w:val="left"/>
    </w:lvl>
  </w:abstractNum>
  <w:abstractNum w:abstractNumId="6">
    <w:nsid w:val="689EA7C6"/>
    <w:multiLevelType w:val="singleLevel"/>
    <w:tmpl w:val="689EA7C6"/>
    <w:lvl w:ilvl="0" w:tentative="0">
      <w:start w:val="5"/>
      <w:numFmt w:val="chineseCounting"/>
      <w:suff w:val="nothing"/>
      <w:lvlText w:val="%1、"/>
      <w:lvlJc w:val="left"/>
    </w:lvl>
  </w:abstractNum>
  <w:abstractNum w:abstractNumId="7">
    <w:nsid w:val="689EA7D6"/>
    <w:multiLevelType w:val="singleLevel"/>
    <w:tmpl w:val="689EA7D6"/>
    <w:lvl w:ilvl="0" w:tentative="0">
      <w:start w:val="6"/>
      <w:numFmt w:val="chineseCounting"/>
      <w:suff w:val="nothing"/>
      <w:lvlText w:val="%1、"/>
      <w:lvlJc w:val="left"/>
    </w:lvl>
  </w:abstractNum>
  <w:abstractNum w:abstractNumId="8">
    <w:nsid w:val="689EA943"/>
    <w:multiLevelType w:val="singleLevel"/>
    <w:tmpl w:val="689EA943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689EAA00"/>
    <w:multiLevelType w:val="singleLevel"/>
    <w:tmpl w:val="689EAA00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635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3505</Words>
  <Characters>3645</Characters>
  <Lines>0</Lines>
  <Paragraphs>0</Paragraphs>
  <TotalTime>0</TotalTime>
  <ScaleCrop>false</ScaleCrop>
  <LinksUpToDate>false</LinksUpToDate>
  <CharactersWithSpaces>3768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2025-05-19T15:44:00Z</dcterms:created>
  <dc:creator>清风明月</dc:creator>
  <cp:lastModifiedBy>WPS_1718607074</cp:lastModifiedBy>
  <dcterms:modified xsi:type="dcterms:W3CDTF">2025-10-10T08:15:26Z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eyJoZGlkIjoiYjlhNTIzNTkyY2Q5NzM1YzQwNTAyNmJlYjEzNjliMjgiLCJ1c2VySWQiOiIxMjE4OTI4OTY5In0=</vt:lpwstr>
  </property>
  <property fmtid="{D5CDD505-2E9C-101B-9397-08002B2CF9AE}" pid="4" name="ICV">
    <vt:lpwstr>E739638E7A4A42359606BE7A8A4A75CF_13</vt:lpwstr>
  </property>
</Properties>
</file>